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11 de ju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>l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ho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auditório da Secretaria Municipal de Assistência Social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Joinville, 2109, bairro São Pedro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10ª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14:15 – 14:45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14:45 – 15:15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 xml:space="preserve">SEMAS - </w:t>
                  </w: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Nota Técnica "SUAS e Sistema de Justiça em SJP"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 25/07/2024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LibreOffice/7.2.5.2$Windows_X86_64 LibreOffice_project/499f9727c189e6ef3471021d6132d4c694f357e5</Application>
  <AppVersion>15.0000</AppVersion>
  <Pages>1</Pages>
  <Words>81</Words>
  <Characters>436</Characters>
  <CharactersWithSpaces>537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2024-07-04T13:34:02Z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